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3209"/>
      </w:tblGrid>
      <w:tr w:rsidR="006D52ED" w:rsidRPr="006D52ED" w:rsidTr="006D52ED">
        <w:trPr>
          <w:trHeight w:val="1573"/>
        </w:trPr>
        <w:tc>
          <w:tcPr>
            <w:tcW w:w="98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6D52ED" w:rsidRDefault="006D52ED" w:rsidP="006D52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Информация о предлагаемых гуманитарных проектах </w:t>
            </w:r>
          </w:p>
          <w:p w:rsidR="006D52ED" w:rsidRPr="006D52ED" w:rsidRDefault="006D52ED" w:rsidP="00332C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(</w:t>
            </w:r>
            <w:proofErr w:type="gramStart"/>
            <w:r w:rsidRPr="006D52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2"/>
                <w:szCs w:val="32"/>
              </w:rPr>
              <w:t>заполн</w:t>
            </w:r>
            <w:r w:rsidR="00332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2"/>
                <w:szCs w:val="32"/>
              </w:rPr>
              <w:t>ена</w:t>
            </w:r>
            <w:proofErr w:type="gramEnd"/>
            <w:r w:rsidRPr="006D52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2"/>
                <w:szCs w:val="32"/>
              </w:rPr>
              <w:t xml:space="preserve"> на русском и английском языках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</w:tr>
      <w:tr w:rsidR="006D52ED" w:rsidRPr="006D52ED" w:rsidTr="006D52E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F0648B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1.</w:t>
            </w: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 проекта:</w:t>
            </w:r>
            <w:r w:rsidR="00F0648B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 xml:space="preserve"> 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«Ра</w:t>
            </w:r>
            <w:r w:rsidR="00F0648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звитие и реализация современных 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технологий</w:t>
            </w:r>
            <w:r w:rsidR="00F0648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в</w:t>
            </w:r>
            <w:r w:rsidR="00F0648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учреждении здравоохранения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«Витебский областной клинический стоматологический центр»</w:t>
            </w:r>
          </w:p>
        </w:tc>
      </w:tr>
      <w:tr w:rsidR="006D52ED" w:rsidRPr="006D52ED" w:rsidTr="006D52E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6D52E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2. </w:t>
            </w: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Срок реализации проекта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: 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24 месяца с начала реализации проекта</w:t>
            </w:r>
          </w:p>
        </w:tc>
      </w:tr>
      <w:tr w:rsidR="006D52ED" w:rsidRPr="006D52ED" w:rsidTr="006D52E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F064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3. </w:t>
            </w: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Организация – заявитель, предлагающая проект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: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F0648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учреждение здравоохранения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«Витебский областной клинический стоматологический центр»</w:t>
            </w:r>
          </w:p>
        </w:tc>
      </w:tr>
      <w:tr w:rsidR="006D52ED" w:rsidRPr="006D52ED" w:rsidTr="006D52E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F0648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</w:t>
            </w: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. Цели проекта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: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профилактика</w:t>
            </w:r>
            <w:r w:rsidR="008663AE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и диагностика</w:t>
            </w:r>
            <w:r w:rsidR="004F7B3E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стоматологических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заболеваний</w:t>
            </w:r>
            <w:r w:rsidR="004F7B3E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и заболеваний</w:t>
            </w:r>
            <w:r w:rsidR="00F0648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челюстно–лицевой области среди населения г. Витебска и Витебского района</w:t>
            </w:r>
          </w:p>
        </w:tc>
      </w:tr>
      <w:tr w:rsidR="006D52ED" w:rsidRPr="006D52ED" w:rsidTr="006D52E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6D52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5. </w:t>
            </w: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 xml:space="preserve">Задачи, планируемые к </w:t>
            </w: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</w:rPr>
              <w:t>выполнению в рамках реализации проекта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: </w:t>
            </w:r>
          </w:p>
          <w:p w:rsidR="00DF28C2" w:rsidRPr="00332CE0" w:rsidRDefault="00DF28C2" w:rsidP="006D52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оборудовать кабинет профилактики стоматологических заболеваний</w:t>
            </w:r>
            <w:r w:rsidR="00F86877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и заболеваний челюстно–лицевой области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;</w:t>
            </w:r>
          </w:p>
          <w:p w:rsidR="005303D1" w:rsidRPr="00332CE0" w:rsidRDefault="005303D1" w:rsidP="006D52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   обеспечить применение соответствующих технологий при выполнении работ по профилактике стоматологических заболеваний;</w:t>
            </w:r>
          </w:p>
          <w:p w:rsidR="00DF28C2" w:rsidRPr="00332CE0" w:rsidRDefault="00DF28C2" w:rsidP="006D52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изготовить наглядные материалы по вопросам профилактики</w:t>
            </w:r>
            <w:r w:rsidR="005303D1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стоматологических заболеваний;</w:t>
            </w:r>
          </w:p>
          <w:p w:rsidR="005303D1" w:rsidRPr="00332CE0" w:rsidRDefault="005303D1" w:rsidP="005303D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-      обучить врачей – стоматологов работе на современном оборудовании. </w:t>
            </w:r>
          </w:p>
        </w:tc>
      </w:tr>
      <w:tr w:rsidR="006D52ED" w:rsidRPr="006D52ED" w:rsidTr="006D52E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DF28C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6. </w:t>
            </w: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Целевая группа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: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Взрослое население г. Витебска и Витебского района</w:t>
            </w:r>
          </w:p>
        </w:tc>
      </w:tr>
      <w:tr w:rsidR="006D52ED" w:rsidRPr="006D52ED" w:rsidTr="006D52E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03D1" w:rsidRPr="00332CE0" w:rsidRDefault="006D52ED" w:rsidP="006D52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7. </w:t>
            </w: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Краткое описание мероприятий в рамках проекта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: </w:t>
            </w:r>
          </w:p>
          <w:p w:rsidR="006D52ED" w:rsidRPr="00332CE0" w:rsidRDefault="005303D1" w:rsidP="005303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proofErr w:type="gramStart"/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оборудова</w:t>
            </w:r>
            <w:r w:rsidR="00EE7111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ние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рабоче</w:t>
            </w:r>
            <w:r w:rsidR="00680DA9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го</w:t>
            </w:r>
            <w:r w:rsidR="00F86877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место врача – стоматолога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: стоматологический комплекс</w:t>
            </w:r>
            <w:r w:rsidR="00EE7111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/ установка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</w:t>
            </w:r>
            <w:r w:rsidR="00EE7111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специально разработанный для кабинета гигиены (раковина и зеркало конструктивно расположены на консоли комплекса/установки и позволяют эффективно обучать пациента методам гигиены),</w:t>
            </w:r>
            <w:r w:rsidR="00F86877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повышающий угловой наконечник,</w:t>
            </w:r>
            <w:r w:rsidR="00EE7111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ультразвуковой </w:t>
            </w:r>
            <w:proofErr w:type="spellStart"/>
            <w:r w:rsidR="00EE7111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ск</w:t>
            </w:r>
            <w:r w:rsidR="00F86877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е</w:t>
            </w:r>
            <w:r w:rsidR="00EE7111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ллер</w:t>
            </w:r>
            <w:proofErr w:type="spellEnd"/>
            <w:r w:rsidR="00EE7111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</w:t>
            </w:r>
            <w:r w:rsidR="00F86877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аппарат для пескоструйной чистки зубов,</w:t>
            </w:r>
            <w:r w:rsidR="00680DA9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аппарат для определения жизнеспосо</w:t>
            </w:r>
            <w:r w:rsidR="002D0828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б</w:t>
            </w:r>
            <w:r w:rsidR="00680DA9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ности пульпы,</w:t>
            </w:r>
            <w:r w:rsidR="00F86877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аппарат для проведения </w:t>
            </w:r>
            <w:proofErr w:type="spellStart"/>
            <w:r w:rsidR="00F86877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стоматоскопии</w:t>
            </w:r>
            <w:proofErr w:type="spellEnd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, аппарат для проведения миографии, аппарат для проведения </w:t>
            </w:r>
            <w:proofErr w:type="spellStart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гальванометрии</w:t>
            </w:r>
            <w:proofErr w:type="spellEnd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 аппарат для проведения цифровой</w:t>
            </w:r>
            <w:proofErr w:type="gramEnd"/>
            <w:r w:rsidR="00F0648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окклюдографии</w:t>
            </w:r>
            <w:proofErr w:type="spellEnd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, аппарат для диагностики кариеса методом количественной световой флюоресценции, </w:t>
            </w:r>
            <w:proofErr w:type="spellStart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интраоральная</w:t>
            </w:r>
            <w:proofErr w:type="spellEnd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камера, 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столик стоматологический, мебель, мобильные стулья для специалистов, стол для ведения документации</w:t>
            </w:r>
            <w:r w:rsidR="00EE7111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;</w:t>
            </w:r>
          </w:p>
          <w:p w:rsidR="00B0379F" w:rsidRPr="00332CE0" w:rsidRDefault="00B0379F" w:rsidP="00EE7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- оборудование рабочего места врача – стоматолога  базовыми наборами инструментов для осмотра полости рта ( бокс, зонд, пинцет, шпатель, экскаваторы зубные и гладилки, зеркало </w:t>
            </w:r>
            <w:r w:rsidR="00680DA9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 ручкой стоматологическое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);</w:t>
            </w:r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химические индикаторы зубного налета и кариеса</w:t>
            </w:r>
            <w:proofErr w:type="gramStart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,а</w:t>
            </w:r>
            <w:proofErr w:type="gramEnd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бразивные пасты для профессиональной гигиены полости рта, 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химически</w:t>
            </w:r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е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средства для снятия 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>зубных отложений; набо</w:t>
            </w:r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ры для полировки и шлифования, препараты для </w:t>
            </w:r>
            <w:proofErr w:type="spellStart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реми</w:t>
            </w:r>
            <w:r w:rsidR="00C84D1C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ни</w:t>
            </w:r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рализирующей</w:t>
            </w:r>
            <w:proofErr w:type="spellEnd"/>
            <w:r w:rsidR="00B97A00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терапии, препараты для инфильтрационного метода лечения кариеса</w:t>
            </w:r>
          </w:p>
          <w:p w:rsidR="00B0379F" w:rsidRPr="00332CE0" w:rsidRDefault="00B0379F" w:rsidP="00EE7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-  оборудование рабочего места врача – стоматолога  средствами гигиены: зубные щетки, пасты, </w:t>
            </w:r>
            <w:proofErr w:type="spellStart"/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флоссы</w:t>
            </w:r>
            <w:proofErr w:type="spellEnd"/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</w:t>
            </w:r>
            <w:r w:rsidR="00F0648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ершики, ирригаторы, межзубные стимуляторы, ополаскиватели;</w:t>
            </w:r>
          </w:p>
          <w:p w:rsidR="00B0379F" w:rsidRPr="00332CE0" w:rsidRDefault="00B0379F" w:rsidP="00EE7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оборудование зоны для проведения дезинфекционных и стерилизационных меропр</w:t>
            </w:r>
            <w:r w:rsidR="00680DA9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иятий </w:t>
            </w:r>
            <w:proofErr w:type="gramStart"/>
            <w:r w:rsidR="00680DA9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( </w:t>
            </w:r>
            <w:proofErr w:type="gramEnd"/>
            <w:r w:rsidR="00680DA9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стерилизатор вакуумный, стерилизатор  суховоздушный);</w:t>
            </w:r>
          </w:p>
          <w:p w:rsidR="00EE7111" w:rsidRPr="00332CE0" w:rsidRDefault="00EE7111" w:rsidP="00EE7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создание зоны активной информации – модели челюстей для обучения чистке зубов,</w:t>
            </w:r>
            <w:r w:rsidR="00C84D1C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модели для демонстраций,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компьютер,</w:t>
            </w:r>
            <w:r w:rsidR="00C84D1C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планшет,</w:t>
            </w: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диапроектор со специальной информацией для проведения активных форм санитарно – просветительной работы;</w:t>
            </w:r>
          </w:p>
          <w:p w:rsidR="00EE7111" w:rsidRPr="00332CE0" w:rsidRDefault="00EE7111" w:rsidP="00EE71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создание постоянно действующих выставок средств гигиены и профилактики, стендов, таблиц, плакатов для различных групп населения</w:t>
            </w:r>
            <w:r w:rsidR="00C84D1C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 информационно-образовательного материала</w:t>
            </w:r>
          </w:p>
        </w:tc>
      </w:tr>
      <w:tr w:rsidR="006D52ED" w:rsidRPr="006D52ED" w:rsidTr="006D52E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6D52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8. </w:t>
            </w: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Общий объем финансирования (в долларах США):</w:t>
            </w:r>
          </w:p>
        </w:tc>
      </w:tr>
      <w:tr w:rsidR="006D52ED" w:rsidRPr="006D52ED" w:rsidTr="006D52ED">
        <w:trPr>
          <w:trHeight w:val="95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6D52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6D52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6D52ED" w:rsidRPr="00332CE0" w:rsidRDefault="006D52ED" w:rsidP="006D52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(в долларах США)</w:t>
            </w:r>
          </w:p>
        </w:tc>
      </w:tr>
      <w:tr w:rsidR="006D52ED" w:rsidRPr="006D52ED" w:rsidTr="006D52ED">
        <w:trPr>
          <w:trHeight w:val="525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6D52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Средства донора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332CE0" w:rsidP="006D52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CE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C84D1C" w:rsidRPr="00332C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2D0828" w:rsidRPr="00332CE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</w:tr>
      <w:tr w:rsidR="006D52ED" w:rsidRPr="006D52ED" w:rsidTr="006D52ED">
        <w:trPr>
          <w:trHeight w:val="57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6D52ED" w:rsidP="006D52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proofErr w:type="spellStart"/>
            <w:r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332CE0" w:rsidP="006D52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C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D52ED" w:rsidRPr="006D52ED" w:rsidTr="006D52ED">
        <w:trPr>
          <w:trHeight w:val="63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8663AE" w:rsidP="00DF28C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9</w:t>
            </w:r>
            <w:r w:rsidR="006D52ED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. </w:t>
            </w:r>
            <w:r w:rsidR="006D52ED"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Место реализации проекта</w:t>
            </w:r>
            <w:r w:rsidR="006D52ED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(область/район, город):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Витебская область</w:t>
            </w:r>
            <w:proofErr w:type="gramStart"/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.г</w:t>
            </w:r>
            <w:proofErr w:type="gramEnd"/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 Витебск</w:t>
            </w:r>
          </w:p>
        </w:tc>
      </w:tr>
      <w:tr w:rsidR="006D52ED" w:rsidRPr="006D52ED" w:rsidTr="006D52ED">
        <w:trPr>
          <w:trHeight w:val="105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332CE0" w:rsidRDefault="008663AE" w:rsidP="006D52E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F0648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10</w:t>
            </w:r>
            <w:r w:rsidR="006D52ED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. </w:t>
            </w:r>
            <w:r w:rsidR="006D52ED" w:rsidRPr="00332CE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Контактное лицо</w:t>
            </w:r>
            <w:r w:rsidR="006D52ED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: </w:t>
            </w:r>
          </w:p>
          <w:p w:rsidR="006D52ED" w:rsidRPr="00332CE0" w:rsidRDefault="006D52ED" w:rsidP="00D90B2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инициалы, фамилия, должность, телефон, адрес электронной почты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Гончаренко Татьяна Владимировна, врач – стоматолог</w:t>
            </w:r>
            <w:r w:rsidR="00C84D1C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заведующ</w:t>
            </w:r>
            <w:r w:rsidR="00C84D1C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ий</w:t>
            </w:r>
            <w:r w:rsidR="00DF28C2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филиалом №3 Стоматологическая поликлиника 8 (0212) </w:t>
            </w:r>
            <w:r w:rsidR="00D90B2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36-62-72 </w:t>
            </w:r>
            <w:r w:rsidR="00C84D1C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C84D1C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>mail</w:t>
            </w:r>
            <w:r w:rsidR="00C84D1C" w:rsidRPr="00332CE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:</w:t>
            </w:r>
            <w:r w:rsidR="00F0648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hyperlink r:id="rId5" w:history="1">
              <w:r w:rsidR="00D90B2D" w:rsidRPr="00041635">
                <w:rPr>
                  <w:rStyle w:val="a4"/>
                  <w:rFonts w:ascii="Times New Roman" w:eastAsia="Times New Roman" w:hAnsi="Times New Roman" w:cs="Times New Roman"/>
                  <w:kern w:val="24"/>
                  <w:sz w:val="28"/>
                  <w:szCs w:val="28"/>
                </w:rPr>
                <w:t>vitstom_f3@v</w:t>
              </w:r>
              <w:r w:rsidR="00D90B2D" w:rsidRPr="00041635">
                <w:rPr>
                  <w:rStyle w:val="a4"/>
                  <w:rFonts w:ascii="Times New Roman" w:eastAsia="Times New Roman" w:hAnsi="Times New Roman" w:cs="Times New Roman"/>
                  <w:kern w:val="24"/>
                  <w:sz w:val="28"/>
                  <w:szCs w:val="28"/>
                  <w:lang w:val="en-US"/>
                </w:rPr>
                <w:t>osp</w:t>
              </w:r>
              <w:r w:rsidR="00D90B2D" w:rsidRPr="00041635">
                <w:rPr>
                  <w:rStyle w:val="a4"/>
                  <w:rFonts w:ascii="Times New Roman" w:eastAsia="Times New Roman" w:hAnsi="Times New Roman" w:cs="Times New Roman"/>
                  <w:kern w:val="24"/>
                  <w:sz w:val="28"/>
                  <w:szCs w:val="28"/>
                </w:rPr>
                <w:t>.by</w:t>
              </w:r>
            </w:hyperlink>
          </w:p>
        </w:tc>
      </w:tr>
    </w:tbl>
    <w:p w:rsidR="008D3171" w:rsidRDefault="008D3171"/>
    <w:p w:rsidR="008D3171" w:rsidRDefault="008D3171">
      <w:r>
        <w:br w:type="page"/>
      </w:r>
      <w:bookmarkStart w:id="0" w:name="_GoBack"/>
      <w:bookmarkEnd w:id="0"/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3209"/>
      </w:tblGrid>
      <w:tr w:rsidR="008D3171" w:rsidRPr="00D90B2D" w:rsidTr="0081108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8D3171" w:rsidP="0081108D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1. Name of the project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: "Development and implementation of mo</w:t>
            </w:r>
            <w:r w:rsidR="0028137E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dern technologies in the health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care institution" Vitebsk Regional Clinical Dental Center "</w:t>
            </w:r>
          </w:p>
        </w:tc>
      </w:tr>
      <w:tr w:rsidR="008D3171" w:rsidRPr="00D90B2D" w:rsidTr="0081108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4775B8" w:rsidP="0081108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Project implementation period: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 months from the start of the project</w:t>
            </w:r>
          </w:p>
        </w:tc>
      </w:tr>
      <w:tr w:rsidR="008D3171" w:rsidRPr="00D90B2D" w:rsidTr="0081108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4775B8" w:rsidP="008110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Organization - applicant, proposing the project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8137E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healthcare institution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"Vitebsk Regional Clinical Dental Center"</w:t>
            </w:r>
          </w:p>
        </w:tc>
      </w:tr>
      <w:tr w:rsidR="008D3171" w:rsidRPr="00D90B2D" w:rsidTr="0081108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7F626B" w:rsidP="0081108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 Project objectives: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prevention</w:t>
            </w:r>
            <w:r w:rsidR="008663AE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="008663AE"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dental diseases and diseases of the maxillofacial area among the population of Vitebsk and Vitebsk region</w:t>
            </w:r>
          </w:p>
        </w:tc>
      </w:tr>
      <w:tr w:rsidR="008D3171" w:rsidRPr="00D90B2D" w:rsidTr="0081108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28137E" w:rsidP="008110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Tasks planned for implementation within the framework of the project:</w:t>
            </w:r>
            <w:r w:rsidRPr="00332C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 to equip the office for the prevention of dental diseases and diseases of the maxillofacial area;</w:t>
            </w:r>
            <w:r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 to ensure the use of appropriate technologies when performing work on the prevention of dental diseases;</w:t>
            </w:r>
            <w:r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 to produce visual materials on the prevention of dental diseases;</w:t>
            </w:r>
            <w:r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 train dentists to work with modern equipment.</w:t>
            </w:r>
          </w:p>
        </w:tc>
      </w:tr>
      <w:tr w:rsidR="008D3171" w:rsidRPr="00D90B2D" w:rsidTr="0081108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28137E" w:rsidP="008110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 Target group: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Adult population of Vitebsk and Vitebsk region</w:t>
            </w:r>
          </w:p>
        </w:tc>
      </w:tr>
      <w:tr w:rsidR="008D3171" w:rsidRPr="00D90B2D" w:rsidTr="0081108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FE2824" w:rsidP="00C06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63AE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7. </w:t>
            </w:r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description of project activities:</w:t>
            </w:r>
            <w:r w:rsidRPr="00332C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equipment for a dentist's workplace: a dental complex / unit specially designed for a hygiene office (the sink and a mirror are structurally located on the console of the complex / unit and allow to effectively teach the patient about hygiene methods), an increasing </w:t>
            </w:r>
            <w:r w:rsidRPr="00866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dental low speed </w:t>
            </w:r>
            <w:proofErr w:type="spellStart"/>
            <w:r w:rsidRPr="00866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handpiece</w:t>
            </w:r>
            <w:proofErr w:type="spellEnd"/>
            <w:r w:rsidRPr="00866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ultrasonic </w:t>
            </w:r>
            <w:proofErr w:type="spellStart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proofErr w:type="spellEnd"/>
            <w:r w:rsidRPr="008663AE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ller</w:t>
            </w:r>
            <w:proofErr w:type="spellEnd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 device for sandblasting teeth </w:t>
            </w:r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device 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determining the viability of the pulp, </w:t>
            </w:r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device 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conducting </w:t>
            </w:r>
            <w:proofErr w:type="spellStart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stomatoscopy</w:t>
            </w:r>
            <w:proofErr w:type="spellEnd"/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device 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carrying out </w:t>
            </w:r>
            <w:proofErr w:type="spellStart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myography</w:t>
            </w:r>
            <w:proofErr w:type="spellEnd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conducting </w:t>
            </w:r>
            <w:proofErr w:type="spellStart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galvanometry</w:t>
            </w:r>
            <w:proofErr w:type="spellEnd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conducting digital </w:t>
            </w:r>
            <w:proofErr w:type="spellStart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occludography</w:t>
            </w:r>
            <w:proofErr w:type="spellEnd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diagnosing caries by quantitative light</w:t>
            </w:r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-induced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fluorescence, intraoral camera, dental table, furniture, mobile chairs for specialists, documentation table;</w:t>
            </w:r>
            <w:r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equipment of the dentist's workplace with basic sets of instruments for examining the oral cavity (box, probe, tweezers, spatula, dental excavators and floats, a dental mirror); chemical indicators of dental plaque and caries, abrasive pastes for professional oral hygiene, chemical agents for removing dental deposits; sets for polishing and grinding, preparations for </w:t>
            </w:r>
            <w:proofErr w:type="spellStart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remineralizing</w:t>
            </w:r>
            <w:proofErr w:type="spellEnd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therapy, preparations for the infiltration method of caries treatment</w:t>
            </w:r>
            <w:r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 equipment of the dentist's workplace with hygiene products: toothbrushes, pastes, floss, brushes, irrigators, interdental stimulants, rinses;</w:t>
            </w:r>
            <w:r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 equipment of the area for disinfection and sterilization measures (vacuum sterilizer, dry-air sterilizer);</w:t>
            </w:r>
            <w:r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creation of an active information zone - models of jaws for teaching to </w:t>
            </w:r>
            <w:proofErr w:type="spellStart"/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hig</w:t>
            </w:r>
            <w:r w:rsidR="00C0634B" w:rsidRPr="008663AE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ene</w:t>
            </w:r>
            <w:proofErr w:type="spellEnd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, models for demonstrations, a computer, a tablet, an overhead projector with special information for carrying out active forms of educational</w:t>
            </w:r>
            <w:r w:rsidR="00C0634B"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dental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work;</w:t>
            </w:r>
            <w:r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 creation of permanent exhibitions of hygiene and prevention products, stands, tables, posters for various population groups, information and educational material</w:t>
            </w:r>
          </w:p>
        </w:tc>
      </w:tr>
      <w:tr w:rsidR="008D3171" w:rsidRPr="00D90B2D" w:rsidTr="0081108D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C0634B" w:rsidP="008110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 Total amount of funding (in US dollars</w:t>
            </w:r>
            <w:r w:rsidR="008D3171" w:rsidRPr="008663A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val="en-US"/>
              </w:rPr>
              <w:t xml:space="preserve">): </w:t>
            </w:r>
          </w:p>
        </w:tc>
      </w:tr>
      <w:tr w:rsidR="008663AE" w:rsidRPr="006D52ED" w:rsidTr="0081108D">
        <w:trPr>
          <w:trHeight w:val="95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63AE" w:rsidRPr="008663AE" w:rsidRDefault="008663AE" w:rsidP="0086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63AE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Funding</w:t>
            </w:r>
            <w:proofErr w:type="spellEnd"/>
            <w:r w:rsidRPr="008663AE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63AE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</w:rPr>
              <w:t>source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63AE" w:rsidRPr="008663AE" w:rsidRDefault="008663AE" w:rsidP="00866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AE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</w:rPr>
              <w:t>Funding volume</w:t>
            </w:r>
          </w:p>
        </w:tc>
      </w:tr>
      <w:tr w:rsidR="008D3171" w:rsidRPr="002D0828" w:rsidTr="0081108D">
        <w:trPr>
          <w:trHeight w:val="525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8663AE" w:rsidP="008110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63AE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Donor funds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8663AE" w:rsidP="0081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D3171" w:rsidRPr="008663A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8D3171" w:rsidRPr="002D0828" w:rsidTr="0081108D">
        <w:trPr>
          <w:trHeight w:val="57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8663AE" w:rsidP="008110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63AE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Co-financing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8D3171" w:rsidP="0081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3AE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663AE" w:rsidRPr="008663AE" w:rsidTr="0081108D">
        <w:trPr>
          <w:trHeight w:val="63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63AE" w:rsidRPr="008663AE" w:rsidRDefault="008663AE" w:rsidP="008110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9.Place</w:t>
            </w:r>
            <w:proofErr w:type="gramEnd"/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project implementation (region / district, city):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Vitebsk region. </w:t>
            </w:r>
            <w:proofErr w:type="spellStart"/>
            <w:r w:rsidRPr="008663AE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Vitebsk</w:t>
            </w:r>
            <w:proofErr w:type="spellEnd"/>
          </w:p>
        </w:tc>
      </w:tr>
      <w:tr w:rsidR="008D3171" w:rsidRPr="00D90B2D" w:rsidTr="0081108D">
        <w:trPr>
          <w:trHeight w:val="105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171" w:rsidRPr="008663AE" w:rsidRDefault="008663AE" w:rsidP="00D90B2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63A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val="en-US"/>
              </w:rPr>
              <w:t>10</w:t>
            </w:r>
            <w:r w:rsidR="008D3171" w:rsidRPr="008663A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val="en-US"/>
              </w:rPr>
              <w:t xml:space="preserve">. </w:t>
            </w:r>
            <w:r w:rsidRPr="00332CE0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Contact person:</w:t>
            </w:r>
            <w:r w:rsidRPr="00332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initials, surname, position, phone number, e-mail address </w:t>
            </w:r>
            <w:proofErr w:type="spellStart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Goncharenko</w:t>
            </w:r>
            <w:proofErr w:type="spellEnd"/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Tatyana dentist, head of  branch Dental clinic No. 3</w:t>
            </w:r>
            <w:r w:rsidRPr="008663AE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(0212) 36-62-72</w:t>
            </w:r>
            <w:r w:rsidR="00D90B2D" w:rsidRPr="00D90B2D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mail: vitstom_f3@v</w:t>
            </w:r>
            <w:r w:rsidR="00D90B2D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osp</w:t>
            </w:r>
            <w:r w:rsidRPr="00332CE0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.by</w:t>
            </w:r>
          </w:p>
        </w:tc>
      </w:tr>
    </w:tbl>
    <w:p w:rsidR="00741538" w:rsidRPr="008663AE" w:rsidRDefault="00741538">
      <w:pPr>
        <w:rPr>
          <w:lang w:val="en-US"/>
        </w:rPr>
      </w:pPr>
    </w:p>
    <w:sectPr w:rsidR="00741538" w:rsidRPr="008663AE" w:rsidSect="00F0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2ED"/>
    <w:rsid w:val="0028137E"/>
    <w:rsid w:val="002D0828"/>
    <w:rsid w:val="00332CE0"/>
    <w:rsid w:val="004775B8"/>
    <w:rsid w:val="004F7B3E"/>
    <w:rsid w:val="005303D1"/>
    <w:rsid w:val="00680DA9"/>
    <w:rsid w:val="006D52ED"/>
    <w:rsid w:val="00741538"/>
    <w:rsid w:val="007F626B"/>
    <w:rsid w:val="008663AE"/>
    <w:rsid w:val="008D3171"/>
    <w:rsid w:val="00A006FE"/>
    <w:rsid w:val="00B0379F"/>
    <w:rsid w:val="00B97A00"/>
    <w:rsid w:val="00C0634B"/>
    <w:rsid w:val="00C84D1C"/>
    <w:rsid w:val="00D90B2D"/>
    <w:rsid w:val="00DF28C2"/>
    <w:rsid w:val="00E7051F"/>
    <w:rsid w:val="00EE7111"/>
    <w:rsid w:val="00F03FDB"/>
    <w:rsid w:val="00F0648B"/>
    <w:rsid w:val="00F83413"/>
    <w:rsid w:val="00F86877"/>
    <w:rsid w:val="00FA4237"/>
    <w:rsid w:val="00FB0B1F"/>
    <w:rsid w:val="00FD1DD1"/>
    <w:rsid w:val="00FE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3171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8D3171"/>
  </w:style>
  <w:style w:type="paragraph" w:styleId="a5">
    <w:name w:val="Balloon Text"/>
    <w:basedOn w:val="a"/>
    <w:link w:val="a6"/>
    <w:uiPriority w:val="99"/>
    <w:semiHidden/>
    <w:unhideWhenUsed/>
    <w:rsid w:val="0033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stom_f3@vos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kovalevskaia.r</dc:creator>
  <cp:lastModifiedBy>7</cp:lastModifiedBy>
  <cp:revision>6</cp:revision>
  <cp:lastPrinted>2020-09-25T09:53:00Z</cp:lastPrinted>
  <dcterms:created xsi:type="dcterms:W3CDTF">2020-09-24T13:26:00Z</dcterms:created>
  <dcterms:modified xsi:type="dcterms:W3CDTF">2024-09-19T04:55:00Z</dcterms:modified>
</cp:coreProperties>
</file>